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1D3F5" w14:textId="23713D74" w:rsidR="00C358C2" w:rsidRPr="00C358C2" w:rsidRDefault="00C358C2" w:rsidP="00C3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58C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C358C2">
        <w:rPr>
          <w:rFonts w:ascii="Times New Roman" w:hAnsi="Times New Roman" w:cs="Times New Roman"/>
          <w:b/>
          <w:bCs/>
          <w:sz w:val="24"/>
          <w:szCs w:val="24"/>
        </w:rPr>
        <w:t>alībnieku sapulces 202</w:t>
      </w:r>
      <w:r w:rsidR="004E574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358C2">
        <w:rPr>
          <w:rFonts w:ascii="Times New Roman" w:hAnsi="Times New Roman" w:cs="Times New Roman"/>
          <w:b/>
          <w:bCs/>
          <w:sz w:val="24"/>
          <w:szCs w:val="24"/>
        </w:rPr>
        <w:t>.gadā</w:t>
      </w:r>
    </w:p>
    <w:tbl>
      <w:tblPr>
        <w:tblStyle w:val="TableGrid"/>
        <w:tblW w:w="15074" w:type="dxa"/>
        <w:tblLook w:val="04A0" w:firstRow="1" w:lastRow="0" w:firstColumn="1" w:lastColumn="0" w:noHBand="0" w:noVBand="1"/>
      </w:tblPr>
      <w:tblGrid>
        <w:gridCol w:w="1356"/>
        <w:gridCol w:w="4746"/>
        <w:gridCol w:w="8972"/>
      </w:tblGrid>
      <w:tr w:rsidR="00C358C2" w:rsidRPr="00C358C2" w14:paraId="3F23F2DC" w14:textId="77777777" w:rsidTr="00C358C2">
        <w:trPr>
          <w:trHeight w:val="614"/>
        </w:trPr>
        <w:tc>
          <w:tcPr>
            <w:tcW w:w="1356" w:type="dxa"/>
          </w:tcPr>
          <w:p w14:paraId="01D1807C" w14:textId="4FB8866C" w:rsidR="00C358C2" w:rsidRPr="00C358C2" w:rsidRDefault="00C3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C2">
              <w:rPr>
                <w:rFonts w:ascii="Times New Roman" w:hAnsi="Times New Roman" w:cs="Times New Roman"/>
                <w:sz w:val="24"/>
                <w:szCs w:val="24"/>
              </w:rPr>
              <w:t>Sapulces datums</w:t>
            </w:r>
          </w:p>
        </w:tc>
        <w:tc>
          <w:tcPr>
            <w:tcW w:w="4746" w:type="dxa"/>
          </w:tcPr>
          <w:p w14:paraId="5D3AB57D" w14:textId="14954128" w:rsidR="00C358C2" w:rsidRPr="00C358C2" w:rsidRDefault="00C3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C2">
              <w:rPr>
                <w:rFonts w:ascii="Times New Roman" w:hAnsi="Times New Roman" w:cs="Times New Roman"/>
                <w:sz w:val="24"/>
                <w:szCs w:val="24"/>
              </w:rPr>
              <w:t>Sapulces darba kārtība</w:t>
            </w:r>
          </w:p>
        </w:tc>
        <w:tc>
          <w:tcPr>
            <w:tcW w:w="8972" w:type="dxa"/>
          </w:tcPr>
          <w:p w14:paraId="0F6119AF" w14:textId="77777777" w:rsidR="00C358C2" w:rsidRPr="00C358C2" w:rsidRDefault="00C358C2" w:rsidP="00C3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C2">
              <w:rPr>
                <w:rFonts w:ascii="Times New Roman" w:hAnsi="Times New Roman" w:cs="Times New Roman"/>
                <w:sz w:val="24"/>
                <w:szCs w:val="24"/>
              </w:rPr>
              <w:t>Sapulces lēmums</w:t>
            </w:r>
          </w:p>
          <w:p w14:paraId="30516F34" w14:textId="77777777" w:rsidR="00C358C2" w:rsidRPr="00C358C2" w:rsidRDefault="00C35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FA8" w:rsidRPr="00C358C2" w14:paraId="2E2D409A" w14:textId="77777777" w:rsidTr="00C358C2">
        <w:trPr>
          <w:trHeight w:val="614"/>
        </w:trPr>
        <w:tc>
          <w:tcPr>
            <w:tcW w:w="1356" w:type="dxa"/>
          </w:tcPr>
          <w:p w14:paraId="310AC284" w14:textId="229D3070" w:rsidR="00114FA8" w:rsidRPr="00C358C2" w:rsidRDefault="00114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18.04.2023.</w:t>
            </w:r>
          </w:p>
        </w:tc>
        <w:tc>
          <w:tcPr>
            <w:tcW w:w="4746" w:type="dxa"/>
          </w:tcPr>
          <w:p w14:paraId="2CDA966B" w14:textId="77777777" w:rsidR="00114FA8" w:rsidRPr="00114FA8" w:rsidRDefault="00114FA8" w:rsidP="00114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FA8">
              <w:rPr>
                <w:rFonts w:ascii="Times New Roman" w:hAnsi="Times New Roman" w:cs="Times New Roman"/>
                <w:sz w:val="24"/>
                <w:szCs w:val="24"/>
              </w:rPr>
              <w:t>1. Kapitālsabiedrības 2022.gada pārskata apstiprināšana.</w:t>
            </w:r>
          </w:p>
          <w:p w14:paraId="58C959E4" w14:textId="4938EEB4" w:rsidR="00114FA8" w:rsidRPr="00114FA8" w:rsidRDefault="00114FA8" w:rsidP="00114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F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FA8">
              <w:rPr>
                <w:rFonts w:ascii="Times New Roman" w:hAnsi="Times New Roman" w:cs="Times New Roman"/>
                <w:sz w:val="24"/>
                <w:szCs w:val="24"/>
              </w:rPr>
              <w:t>Kapitālsabiedrības 2022.gada peļņas/zaudējumu segšanas kārtība.</w:t>
            </w:r>
          </w:p>
          <w:p w14:paraId="3F8A638F" w14:textId="7C3F0BF6" w:rsidR="00114FA8" w:rsidRPr="00114FA8" w:rsidRDefault="00114FA8" w:rsidP="00114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FA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FA8">
              <w:rPr>
                <w:rFonts w:ascii="Times New Roman" w:hAnsi="Times New Roman" w:cs="Times New Roman"/>
                <w:sz w:val="24"/>
                <w:szCs w:val="24"/>
              </w:rPr>
              <w:t>Zvērināta revidenta ievēlēšana.</w:t>
            </w:r>
          </w:p>
          <w:p w14:paraId="04D51773" w14:textId="2E8A775C" w:rsidR="00114FA8" w:rsidRPr="00C358C2" w:rsidRDefault="00114FA8" w:rsidP="00114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FA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FA8">
              <w:rPr>
                <w:rFonts w:ascii="Times New Roman" w:hAnsi="Times New Roman" w:cs="Times New Roman"/>
                <w:sz w:val="24"/>
                <w:szCs w:val="24"/>
              </w:rPr>
              <w:t>Valdes locekļa atalgojuma noteikšana.</w:t>
            </w:r>
          </w:p>
        </w:tc>
        <w:tc>
          <w:tcPr>
            <w:tcW w:w="8972" w:type="dxa"/>
          </w:tcPr>
          <w:p w14:paraId="26181573" w14:textId="77777777" w:rsidR="00114FA8" w:rsidRDefault="00114FA8" w:rsidP="00C3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14FA8">
              <w:rPr>
                <w:rFonts w:ascii="Times New Roman" w:hAnsi="Times New Roman" w:cs="Times New Roman"/>
                <w:sz w:val="24"/>
                <w:szCs w:val="24"/>
              </w:rPr>
              <w:t>Dalībnieki vienbalsīgi apstiprina SIA „Jelgavas komunālie pakalpojumi” 2022.gada pārskatu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2C5787" w14:textId="77777777" w:rsidR="00114FA8" w:rsidRDefault="00114FA8" w:rsidP="00C3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14FA8">
              <w:rPr>
                <w:rFonts w:ascii="Times New Roman" w:hAnsi="Times New Roman" w:cs="Times New Roman"/>
                <w:sz w:val="24"/>
                <w:szCs w:val="24"/>
              </w:rPr>
              <w:t>Dalībnieki vienbalsīgi atbalsta valdes ierosinājumu 2022.gada zaudējumus segt no iepriekšējo gadu nesadalītās peļņas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818EEA" w14:textId="30987750" w:rsidR="00114FA8" w:rsidRDefault="00114FA8" w:rsidP="00C3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14FA8">
              <w:rPr>
                <w:rFonts w:ascii="Times New Roman" w:hAnsi="Times New Roman" w:cs="Times New Roman"/>
                <w:sz w:val="24"/>
                <w:szCs w:val="24"/>
              </w:rPr>
              <w:t xml:space="preserve"> Dalībnieki vienbalsīgi par SIA „Jelgavas komunālie pakalpojumi” revidentu 2023.gadam apstiprina SIA „</w:t>
            </w:r>
            <w:proofErr w:type="spellStart"/>
            <w:r w:rsidRPr="00114FA8">
              <w:rPr>
                <w:rFonts w:ascii="Times New Roman" w:hAnsi="Times New Roman" w:cs="Times New Roman"/>
                <w:sz w:val="24"/>
                <w:szCs w:val="24"/>
              </w:rPr>
              <w:t>Dz</w:t>
            </w:r>
            <w:proofErr w:type="spellEnd"/>
            <w:r w:rsidRPr="00114FA8">
              <w:rPr>
                <w:rFonts w:ascii="Times New Roman" w:hAnsi="Times New Roman" w:cs="Times New Roman"/>
                <w:sz w:val="24"/>
                <w:szCs w:val="24"/>
              </w:rPr>
              <w:t xml:space="preserve"> Birojs” revidentu biroju (VRN. 40003541217)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F153EA" w14:textId="1B00CF8C" w:rsidR="00114FA8" w:rsidRPr="00C358C2" w:rsidRDefault="00114FA8" w:rsidP="00C3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FE69B8">
              <w:rPr>
                <w:rFonts w:ascii="Times New Roman" w:hAnsi="Times New Roman" w:cs="Times New Roman"/>
                <w:sz w:val="24"/>
                <w:szCs w:val="24"/>
              </w:rPr>
              <w:t>Ar 2023.gada 1.maiju palielināt mēneša atlīdzību.</w:t>
            </w:r>
          </w:p>
        </w:tc>
      </w:tr>
      <w:tr w:rsidR="00970FC2" w:rsidRPr="00C358C2" w14:paraId="0AFDA39C" w14:textId="77777777" w:rsidTr="00C358C2">
        <w:trPr>
          <w:trHeight w:val="614"/>
        </w:trPr>
        <w:tc>
          <w:tcPr>
            <w:tcW w:w="1356" w:type="dxa"/>
          </w:tcPr>
          <w:p w14:paraId="2B68CE5B" w14:textId="2085B175" w:rsidR="00970FC2" w:rsidRPr="00C358C2" w:rsidRDefault="00970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12.05.2023.</w:t>
            </w:r>
          </w:p>
        </w:tc>
        <w:tc>
          <w:tcPr>
            <w:tcW w:w="4746" w:type="dxa"/>
          </w:tcPr>
          <w:p w14:paraId="741956AA" w14:textId="77777777" w:rsidR="00970FC2" w:rsidRDefault="00970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70FC2">
              <w:rPr>
                <w:rFonts w:ascii="Times New Roman" w:hAnsi="Times New Roman" w:cs="Times New Roman"/>
                <w:sz w:val="24"/>
                <w:szCs w:val="24"/>
              </w:rPr>
              <w:t>Sabiedrības statūtu jaunās redakcijas apstiprināšana.</w:t>
            </w:r>
          </w:p>
          <w:p w14:paraId="6EC147E1" w14:textId="544C67B5" w:rsidR="00970FC2" w:rsidRPr="00C358C2" w:rsidRDefault="00970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Dažādi</w:t>
            </w:r>
          </w:p>
        </w:tc>
        <w:tc>
          <w:tcPr>
            <w:tcW w:w="8972" w:type="dxa"/>
          </w:tcPr>
          <w:p w14:paraId="0CA751FC" w14:textId="77777777" w:rsidR="00970FC2" w:rsidRDefault="00970FC2" w:rsidP="00C3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Dalībnieki vienbalsīgi nolemj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atbalstīt Stātu grozījumus un a</w:t>
            </w:r>
            <w:r w:rsidRPr="00970FC2">
              <w:rPr>
                <w:rFonts w:ascii="Times New Roman" w:hAnsi="Times New Roman" w:cs="Times New Roman"/>
                <w:sz w:val="24"/>
                <w:szCs w:val="24"/>
              </w:rPr>
              <w:t xml:space="preserve">pstiprināt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70FC2">
              <w:rPr>
                <w:rFonts w:ascii="Times New Roman" w:hAnsi="Times New Roman" w:cs="Times New Roman"/>
                <w:sz w:val="24"/>
                <w:szCs w:val="24"/>
              </w:rPr>
              <w:t>tatūtu jaun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970FC2">
              <w:rPr>
                <w:rFonts w:ascii="Times New Roman" w:hAnsi="Times New Roman" w:cs="Times New Roman"/>
                <w:sz w:val="24"/>
                <w:szCs w:val="24"/>
              </w:rPr>
              <w:t xml:space="preserve"> redakcij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970F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EF863E" w14:textId="7420D329" w:rsidR="00970FC2" w:rsidRPr="00C358C2" w:rsidRDefault="00970FC2" w:rsidP="00C35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Nolemj par nepieciešamību jauna valdes locekļa iecelšanu.</w:t>
            </w:r>
          </w:p>
        </w:tc>
      </w:tr>
      <w:tr w:rsidR="004360D8" w:rsidRPr="00C358C2" w14:paraId="6DA68AFA" w14:textId="77777777" w:rsidTr="00C358C2">
        <w:trPr>
          <w:trHeight w:val="614"/>
        </w:trPr>
        <w:tc>
          <w:tcPr>
            <w:tcW w:w="1356" w:type="dxa"/>
          </w:tcPr>
          <w:p w14:paraId="08903325" w14:textId="22E7FF7A" w:rsidR="004360D8" w:rsidRDefault="00DB7712" w:rsidP="0043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15.05.2023.</w:t>
            </w:r>
          </w:p>
        </w:tc>
        <w:tc>
          <w:tcPr>
            <w:tcW w:w="4746" w:type="dxa"/>
          </w:tcPr>
          <w:p w14:paraId="6D5E7C49" w14:textId="0D4ADAC9" w:rsidR="00DB7712" w:rsidRPr="00DB7712" w:rsidRDefault="00DB7712" w:rsidP="00DB7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12">
              <w:rPr>
                <w:rFonts w:ascii="Times New Roman" w:hAnsi="Times New Roman" w:cs="Times New Roman"/>
                <w:sz w:val="24"/>
                <w:szCs w:val="24"/>
              </w:rPr>
              <w:t xml:space="preserve">1.Valdes locekļa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DB7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712">
              <w:rPr>
                <w:rFonts w:ascii="Times New Roman" w:hAnsi="Times New Roman" w:cs="Times New Roman"/>
                <w:sz w:val="24"/>
                <w:szCs w:val="24"/>
              </w:rPr>
              <w:t>Grīnfelda</w:t>
            </w:r>
            <w:proofErr w:type="spellEnd"/>
            <w:r w:rsidRPr="00DB7712">
              <w:rPr>
                <w:rFonts w:ascii="Times New Roman" w:hAnsi="Times New Roman" w:cs="Times New Roman"/>
                <w:sz w:val="24"/>
                <w:szCs w:val="24"/>
              </w:rPr>
              <w:t xml:space="preserve"> atcelšana no amata.</w:t>
            </w:r>
          </w:p>
          <w:p w14:paraId="5CD2E0C6" w14:textId="77777777" w:rsidR="00DB7712" w:rsidRPr="00DB7712" w:rsidRDefault="00DB7712" w:rsidP="00DB7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6C791" w14:textId="2FD033F2" w:rsidR="004360D8" w:rsidRPr="00C358C2" w:rsidRDefault="00DB7712" w:rsidP="00DB7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712">
              <w:rPr>
                <w:rFonts w:ascii="Times New Roman" w:hAnsi="Times New Roman" w:cs="Times New Roman"/>
                <w:sz w:val="24"/>
                <w:szCs w:val="24"/>
              </w:rPr>
              <w:t>Jauna valdes locekļa iecelšana amatā.</w:t>
            </w:r>
          </w:p>
        </w:tc>
        <w:tc>
          <w:tcPr>
            <w:tcW w:w="8972" w:type="dxa"/>
          </w:tcPr>
          <w:p w14:paraId="7941D5B4" w14:textId="3405645B" w:rsidR="009F432E" w:rsidRPr="009F432E" w:rsidRDefault="009F432E" w:rsidP="009F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2E">
              <w:rPr>
                <w:rFonts w:ascii="Times New Roman" w:hAnsi="Times New Roman" w:cs="Times New Roman"/>
                <w:sz w:val="24"/>
                <w:szCs w:val="24"/>
              </w:rPr>
              <w:t>1. Ar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432E">
              <w:rPr>
                <w:rFonts w:ascii="Times New Roman" w:hAnsi="Times New Roman" w:cs="Times New Roman"/>
                <w:sz w:val="24"/>
                <w:szCs w:val="24"/>
              </w:rPr>
              <w:t xml:space="preserve">.gada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F43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maiju </w:t>
            </w:r>
            <w:r w:rsidRPr="009F432E">
              <w:rPr>
                <w:rFonts w:ascii="Times New Roman" w:hAnsi="Times New Roman" w:cs="Times New Roman"/>
                <w:sz w:val="24"/>
                <w:szCs w:val="24"/>
              </w:rPr>
              <w:t xml:space="preserve">atsaukt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Grīnfeldu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32E">
              <w:rPr>
                <w:rFonts w:ascii="Times New Roman" w:hAnsi="Times New Roman" w:cs="Times New Roman"/>
                <w:sz w:val="24"/>
                <w:szCs w:val="24"/>
              </w:rPr>
              <w:t>no SIA ”Jelgavas komunālie pakalpojumi” valdes locekļa amata.</w:t>
            </w:r>
          </w:p>
          <w:p w14:paraId="6222D732" w14:textId="3B37C59D" w:rsidR="004360D8" w:rsidRDefault="009F432E" w:rsidP="009F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32E">
              <w:rPr>
                <w:rFonts w:ascii="Times New Roman" w:hAnsi="Times New Roman" w:cs="Times New Roman"/>
                <w:sz w:val="24"/>
                <w:szCs w:val="24"/>
              </w:rPr>
              <w:t xml:space="preserve">2. 2. Iecelt A.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Jankovski</w:t>
            </w:r>
            <w:r w:rsidRPr="009F432E">
              <w:rPr>
                <w:rFonts w:ascii="Times New Roman" w:hAnsi="Times New Roman" w:cs="Times New Roman"/>
                <w:sz w:val="24"/>
                <w:szCs w:val="24"/>
              </w:rPr>
              <w:t xml:space="preserve"> par SIA ”Jelgavas komunālie pakalpojumi” valdes locekli no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432E">
              <w:rPr>
                <w:rFonts w:ascii="Times New Roman" w:hAnsi="Times New Roman" w:cs="Times New Roman"/>
                <w:sz w:val="24"/>
                <w:szCs w:val="24"/>
              </w:rPr>
              <w:t xml:space="preserve">.gada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F43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maija </w:t>
            </w:r>
            <w:r w:rsidRPr="009F432E">
              <w:rPr>
                <w:rFonts w:ascii="Times New Roman" w:hAnsi="Times New Roman" w:cs="Times New Roman"/>
                <w:sz w:val="24"/>
                <w:szCs w:val="24"/>
              </w:rPr>
              <w:t>līdz dienai, kad valdes locekļa amatā tiks ievēlēts nominēšanas kārtībā izvēlēts kandidāts, bet ne ilgāk kā līdz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432E">
              <w:rPr>
                <w:rFonts w:ascii="Times New Roman" w:hAnsi="Times New Roman" w:cs="Times New Roman"/>
                <w:sz w:val="24"/>
                <w:szCs w:val="24"/>
              </w:rPr>
              <w:t xml:space="preserve">.gada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F43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maijam</w:t>
            </w:r>
            <w:r w:rsidRPr="009F43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60D8" w:rsidRPr="00C358C2" w14:paraId="360EF191" w14:textId="77777777" w:rsidTr="00C358C2">
        <w:trPr>
          <w:trHeight w:val="614"/>
        </w:trPr>
        <w:tc>
          <w:tcPr>
            <w:tcW w:w="1356" w:type="dxa"/>
          </w:tcPr>
          <w:p w14:paraId="19E1E8D0" w14:textId="1536C7B4" w:rsidR="004360D8" w:rsidRPr="00C358C2" w:rsidRDefault="00DB7712" w:rsidP="0043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19.06.2023.</w:t>
            </w:r>
          </w:p>
        </w:tc>
        <w:tc>
          <w:tcPr>
            <w:tcW w:w="4746" w:type="dxa"/>
          </w:tcPr>
          <w:p w14:paraId="0AAD4131" w14:textId="634C08F0" w:rsidR="004360D8" w:rsidRPr="00C358C2" w:rsidRDefault="00DB7712" w:rsidP="0043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B7712">
              <w:rPr>
                <w:rFonts w:ascii="Times New Roman" w:hAnsi="Times New Roman" w:cs="Times New Roman"/>
                <w:sz w:val="24"/>
                <w:szCs w:val="24"/>
              </w:rPr>
              <w:t>Abu kapitāldaļu turētāju galvojamas summas Grozījumi projektam, Nr. 5.2.1.2/21/I/001  “Tādu bioloģiski noārdāmo atkritumu pārstrādes iekārtu izveide poligonā “Brakšķi”, kas izmanto anaerobo pārstrādes metodi.</w:t>
            </w:r>
          </w:p>
        </w:tc>
        <w:tc>
          <w:tcPr>
            <w:tcW w:w="8972" w:type="dxa"/>
          </w:tcPr>
          <w:p w14:paraId="33AAAF2C" w14:textId="04C1EE67" w:rsidR="004360D8" w:rsidRPr="001F3E62" w:rsidRDefault="004360D8" w:rsidP="0043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B7712">
              <w:rPr>
                <w:rFonts w:ascii="Times New Roman" w:hAnsi="Times New Roman" w:cs="Times New Roman"/>
                <w:sz w:val="24"/>
                <w:szCs w:val="24"/>
              </w:rPr>
              <w:t>Dalībnieki vienbalsīgi nolemj atbalstīt aizdevuma līguma noslēgšanu</w:t>
            </w:r>
            <w:r w:rsidR="00DB7712" w:rsidRPr="00DB77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60D8" w:rsidRPr="00C358C2" w14:paraId="4219AF90" w14:textId="77777777" w:rsidTr="00C358C2">
        <w:trPr>
          <w:trHeight w:val="614"/>
        </w:trPr>
        <w:tc>
          <w:tcPr>
            <w:tcW w:w="1356" w:type="dxa"/>
          </w:tcPr>
          <w:p w14:paraId="0E86D784" w14:textId="5228471D" w:rsidR="004360D8" w:rsidRPr="00C358C2" w:rsidRDefault="00DB7712" w:rsidP="0043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11.07.2023.</w:t>
            </w:r>
          </w:p>
        </w:tc>
        <w:tc>
          <w:tcPr>
            <w:tcW w:w="4746" w:type="dxa"/>
          </w:tcPr>
          <w:p w14:paraId="66068C9C" w14:textId="601BDFAF" w:rsidR="004360D8" w:rsidRPr="00C358C2" w:rsidRDefault="004360D8" w:rsidP="0043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8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B7712">
              <w:t xml:space="preserve"> </w:t>
            </w:r>
            <w:r w:rsidR="00DB7712" w:rsidRPr="00DB7712">
              <w:rPr>
                <w:rFonts w:ascii="Times New Roman" w:hAnsi="Times New Roman" w:cs="Times New Roman"/>
                <w:sz w:val="24"/>
                <w:szCs w:val="24"/>
              </w:rPr>
              <w:t>Atskaite par Atkritumu apsaimniekošanas tarifa projektu, ietekmējošie faktori, termiņi.</w:t>
            </w:r>
          </w:p>
        </w:tc>
        <w:tc>
          <w:tcPr>
            <w:tcW w:w="8972" w:type="dxa"/>
          </w:tcPr>
          <w:p w14:paraId="244D3C94" w14:textId="7BD0C376" w:rsidR="004360D8" w:rsidRPr="00C358C2" w:rsidRDefault="004360D8" w:rsidP="0043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B7712" w:rsidRPr="00DB7712">
              <w:rPr>
                <w:rFonts w:ascii="Times New Roman" w:hAnsi="Times New Roman" w:cs="Times New Roman"/>
                <w:sz w:val="24"/>
                <w:szCs w:val="24"/>
              </w:rPr>
              <w:t>Pieņemt zināšanai</w:t>
            </w:r>
            <w:r w:rsidR="00DB7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informāciju.</w:t>
            </w:r>
          </w:p>
        </w:tc>
      </w:tr>
    </w:tbl>
    <w:p w14:paraId="3CAD7070" w14:textId="77777777" w:rsidR="00C358C2" w:rsidRPr="00C358C2" w:rsidRDefault="00C358C2">
      <w:pPr>
        <w:rPr>
          <w:rFonts w:ascii="Times New Roman" w:hAnsi="Times New Roman" w:cs="Times New Roman"/>
          <w:sz w:val="24"/>
          <w:szCs w:val="24"/>
        </w:rPr>
      </w:pPr>
    </w:p>
    <w:p w14:paraId="3CF16124" w14:textId="77777777" w:rsidR="00C358C2" w:rsidRPr="00C358C2" w:rsidRDefault="00C358C2">
      <w:pPr>
        <w:rPr>
          <w:rFonts w:ascii="Times New Roman" w:hAnsi="Times New Roman" w:cs="Times New Roman"/>
          <w:sz w:val="24"/>
          <w:szCs w:val="24"/>
        </w:rPr>
      </w:pPr>
    </w:p>
    <w:sectPr w:rsidR="00C358C2" w:rsidRPr="00C358C2" w:rsidSect="00C358C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45E07"/>
    <w:multiLevelType w:val="multilevel"/>
    <w:tmpl w:val="87347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7A73BB7"/>
    <w:multiLevelType w:val="hybridMultilevel"/>
    <w:tmpl w:val="466033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37E07"/>
    <w:multiLevelType w:val="hybridMultilevel"/>
    <w:tmpl w:val="DB32AA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006400">
    <w:abstractNumId w:val="0"/>
  </w:num>
  <w:num w:numId="2" w16cid:durableId="510532917">
    <w:abstractNumId w:val="1"/>
  </w:num>
  <w:num w:numId="3" w16cid:durableId="713189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C2"/>
    <w:rsid w:val="00035D57"/>
    <w:rsid w:val="00114FA8"/>
    <w:rsid w:val="001F3E62"/>
    <w:rsid w:val="002F380C"/>
    <w:rsid w:val="004360D8"/>
    <w:rsid w:val="004E4554"/>
    <w:rsid w:val="004E5743"/>
    <w:rsid w:val="00605E22"/>
    <w:rsid w:val="00970FC2"/>
    <w:rsid w:val="009F432E"/>
    <w:rsid w:val="00A04CD9"/>
    <w:rsid w:val="00A16EF0"/>
    <w:rsid w:val="00BC0888"/>
    <w:rsid w:val="00C358C2"/>
    <w:rsid w:val="00DB7712"/>
    <w:rsid w:val="00DE6518"/>
    <w:rsid w:val="00E417F7"/>
    <w:rsid w:val="00E87BA0"/>
    <w:rsid w:val="00FC5677"/>
    <w:rsid w:val="00FE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9DC559"/>
  <w15:chartTrackingRefBased/>
  <w15:docId w15:val="{CDA13C4E-D119-482B-9770-6E53B544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8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8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8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8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8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8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8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8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8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8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8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8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8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8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8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8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8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8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3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1177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A_E</dc:creator>
  <cp:keywords/>
  <dc:description/>
  <cp:lastModifiedBy>A_E</cp:lastModifiedBy>
  <cp:revision>5</cp:revision>
  <dcterms:created xsi:type="dcterms:W3CDTF">2025-11-12T11:08:00Z</dcterms:created>
  <dcterms:modified xsi:type="dcterms:W3CDTF">2025-11-12T11:31:00Z</dcterms:modified>
</cp:coreProperties>
</file>